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60"/>
        <w:gridCol w:w="1900"/>
        <w:gridCol w:w="1920"/>
        <w:gridCol w:w="1940"/>
        <w:gridCol w:w="20"/>
      </w:tblGrid>
      <w:tr w:rsidR="00467BE5" w14:paraId="19E33446" w14:textId="77777777">
        <w:trPr>
          <w:trHeight w:val="550"/>
        </w:trPr>
        <w:tc>
          <w:tcPr>
            <w:tcW w:w="2000" w:type="dxa"/>
            <w:vAlign w:val="bottom"/>
          </w:tcPr>
          <w:p w14:paraId="33B36A2F" w14:textId="77777777" w:rsidR="00467BE5" w:rsidRDefault="00A561E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33FC9"/>
              </w:rPr>
              <w:t>MAYOR</w:t>
            </w:r>
          </w:p>
        </w:tc>
        <w:tc>
          <w:tcPr>
            <w:tcW w:w="5880" w:type="dxa"/>
            <w:gridSpan w:val="3"/>
            <w:vMerge w:val="restart"/>
            <w:vAlign w:val="bottom"/>
          </w:tcPr>
          <w:p w14:paraId="04FD6F16" w14:textId="77777777" w:rsidR="00467BE5" w:rsidRDefault="00A561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33FC9"/>
                <w:w w:val="99"/>
                <w:sz w:val="64"/>
                <w:szCs w:val="64"/>
              </w:rPr>
              <w:t>CITY OF TAYLOR</w:t>
            </w:r>
          </w:p>
        </w:tc>
        <w:tc>
          <w:tcPr>
            <w:tcW w:w="1940" w:type="dxa"/>
            <w:vAlign w:val="bottom"/>
          </w:tcPr>
          <w:p w14:paraId="099B4296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33FC9"/>
              </w:rPr>
              <w:t>COUNCIL</w:t>
            </w:r>
          </w:p>
        </w:tc>
        <w:tc>
          <w:tcPr>
            <w:tcW w:w="0" w:type="dxa"/>
            <w:vAlign w:val="bottom"/>
          </w:tcPr>
          <w:p w14:paraId="245632AF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D25C58D" w14:textId="77777777">
        <w:trPr>
          <w:trHeight w:val="250"/>
        </w:trPr>
        <w:tc>
          <w:tcPr>
            <w:tcW w:w="2000" w:type="dxa"/>
            <w:vAlign w:val="bottom"/>
          </w:tcPr>
          <w:p w14:paraId="3C592CF5" w14:textId="77777777" w:rsidR="00467BE5" w:rsidRDefault="00A561E8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Timothy Woolley</w:t>
            </w:r>
          </w:p>
        </w:tc>
        <w:tc>
          <w:tcPr>
            <w:tcW w:w="5880" w:type="dxa"/>
            <w:gridSpan w:val="3"/>
            <w:vMerge/>
            <w:vAlign w:val="bottom"/>
          </w:tcPr>
          <w:p w14:paraId="441E9071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14:paraId="639805EE" w14:textId="77777777" w:rsidR="00467BE5" w:rsidRDefault="00A561E8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Charley Johnson</w:t>
            </w:r>
          </w:p>
        </w:tc>
        <w:tc>
          <w:tcPr>
            <w:tcW w:w="0" w:type="dxa"/>
            <w:vAlign w:val="bottom"/>
          </w:tcPr>
          <w:p w14:paraId="5A287538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F69A2B6" w14:textId="77777777">
        <w:trPr>
          <w:trHeight w:val="288"/>
        </w:trPr>
        <w:tc>
          <w:tcPr>
            <w:tcW w:w="2000" w:type="dxa"/>
            <w:vMerge w:val="restart"/>
            <w:vAlign w:val="bottom"/>
          </w:tcPr>
          <w:p w14:paraId="0D1894C2" w14:textId="77777777" w:rsidR="00467BE5" w:rsidRDefault="00A561E8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Cynthia A. Bower</w:t>
            </w:r>
          </w:p>
        </w:tc>
        <w:tc>
          <w:tcPr>
            <w:tcW w:w="2060" w:type="dxa"/>
            <w:vAlign w:val="bottom"/>
          </w:tcPr>
          <w:p w14:paraId="030F847D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055A50C2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74D8CF6F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3C9AC58F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33FC9"/>
              </w:rPr>
              <w:t>CHAIRMAN</w:t>
            </w:r>
          </w:p>
        </w:tc>
        <w:tc>
          <w:tcPr>
            <w:tcW w:w="0" w:type="dxa"/>
            <w:vAlign w:val="bottom"/>
          </w:tcPr>
          <w:p w14:paraId="1899CD67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12C81A32" w14:textId="77777777">
        <w:trPr>
          <w:trHeight w:val="216"/>
        </w:trPr>
        <w:tc>
          <w:tcPr>
            <w:tcW w:w="2000" w:type="dxa"/>
            <w:vMerge/>
            <w:vAlign w:val="bottom"/>
          </w:tcPr>
          <w:p w14:paraId="72940618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vAlign w:val="bottom"/>
          </w:tcPr>
          <w:p w14:paraId="33BAA8BA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bottom"/>
          </w:tcPr>
          <w:p w14:paraId="1AE7B187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bottom"/>
          </w:tcPr>
          <w:p w14:paraId="4592463C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14:paraId="179D3C7F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6269FAB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720A154E" w14:textId="77777777">
        <w:trPr>
          <w:trHeight w:val="252"/>
        </w:trPr>
        <w:tc>
          <w:tcPr>
            <w:tcW w:w="2000" w:type="dxa"/>
            <w:vAlign w:val="bottom"/>
          </w:tcPr>
          <w:p w14:paraId="21A1B70C" w14:textId="77777777" w:rsidR="00467BE5" w:rsidRDefault="00A561E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33FC9"/>
              </w:rPr>
              <w:t>CLERK</w:t>
            </w:r>
          </w:p>
        </w:tc>
        <w:tc>
          <w:tcPr>
            <w:tcW w:w="2060" w:type="dxa"/>
            <w:vAlign w:val="bottom"/>
          </w:tcPr>
          <w:p w14:paraId="53F81AC1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Align w:val="bottom"/>
          </w:tcPr>
          <w:p w14:paraId="70273E52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vAlign w:val="bottom"/>
          </w:tcPr>
          <w:p w14:paraId="2C8EB252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14:paraId="795BC83B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Ron Thiede</w:t>
            </w:r>
          </w:p>
        </w:tc>
        <w:tc>
          <w:tcPr>
            <w:tcW w:w="0" w:type="dxa"/>
            <w:vAlign w:val="bottom"/>
          </w:tcPr>
          <w:p w14:paraId="511D7479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9151B9C" w14:textId="77777777">
        <w:trPr>
          <w:trHeight w:val="288"/>
        </w:trPr>
        <w:tc>
          <w:tcPr>
            <w:tcW w:w="2000" w:type="dxa"/>
            <w:vMerge w:val="restart"/>
            <w:vAlign w:val="bottom"/>
          </w:tcPr>
          <w:p w14:paraId="07E038E4" w14:textId="77777777" w:rsidR="00467BE5" w:rsidRDefault="00A561E8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Nicone Dragone Sr.</w:t>
            </w:r>
          </w:p>
        </w:tc>
        <w:tc>
          <w:tcPr>
            <w:tcW w:w="2060" w:type="dxa"/>
            <w:vAlign w:val="bottom"/>
          </w:tcPr>
          <w:p w14:paraId="3FF33781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14:paraId="70A51DF0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097A645F" w14:textId="77777777" w:rsidR="00467BE5" w:rsidRDefault="00467BE5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37693E72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33FC9"/>
              </w:rPr>
              <w:t>CHAIR PRO-TEM</w:t>
            </w:r>
          </w:p>
        </w:tc>
        <w:tc>
          <w:tcPr>
            <w:tcW w:w="0" w:type="dxa"/>
            <w:vAlign w:val="bottom"/>
          </w:tcPr>
          <w:p w14:paraId="5B8D5C27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C6C8055" w14:textId="77777777">
        <w:trPr>
          <w:trHeight w:val="216"/>
        </w:trPr>
        <w:tc>
          <w:tcPr>
            <w:tcW w:w="2000" w:type="dxa"/>
            <w:vMerge/>
            <w:vAlign w:val="bottom"/>
          </w:tcPr>
          <w:p w14:paraId="19D1088A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vAlign w:val="bottom"/>
          </w:tcPr>
          <w:p w14:paraId="034159F2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bottom"/>
          </w:tcPr>
          <w:p w14:paraId="7D245B26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bottom"/>
          </w:tcPr>
          <w:p w14:paraId="76C9B086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14:paraId="3285EEDB" w14:textId="77777777" w:rsidR="00467BE5" w:rsidRDefault="00467BE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72909DE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17AAB4D0" w14:textId="77777777">
        <w:trPr>
          <w:trHeight w:val="254"/>
        </w:trPr>
        <w:tc>
          <w:tcPr>
            <w:tcW w:w="2000" w:type="dxa"/>
            <w:vAlign w:val="bottom"/>
          </w:tcPr>
          <w:p w14:paraId="4984324B" w14:textId="77777777" w:rsidR="00467BE5" w:rsidRDefault="00A561E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33FC9"/>
              </w:rPr>
              <w:t>TREASURER</w:t>
            </w:r>
          </w:p>
        </w:tc>
        <w:tc>
          <w:tcPr>
            <w:tcW w:w="2060" w:type="dxa"/>
            <w:vAlign w:val="bottom"/>
          </w:tcPr>
          <w:p w14:paraId="6F8A32EC" w14:textId="77777777" w:rsidR="00467BE5" w:rsidRDefault="00467BE5"/>
        </w:tc>
        <w:tc>
          <w:tcPr>
            <w:tcW w:w="3820" w:type="dxa"/>
            <w:gridSpan w:val="2"/>
            <w:vMerge w:val="restart"/>
            <w:vAlign w:val="bottom"/>
          </w:tcPr>
          <w:p w14:paraId="23D0731C" w14:textId="77777777" w:rsidR="00467BE5" w:rsidRDefault="00A561E8">
            <w:pPr>
              <w:ind w:right="1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  <w:w w:val="97"/>
              </w:rPr>
              <w:t>23555 Goddard Road</w:t>
            </w:r>
          </w:p>
        </w:tc>
        <w:tc>
          <w:tcPr>
            <w:tcW w:w="1940" w:type="dxa"/>
            <w:vAlign w:val="bottom"/>
          </w:tcPr>
          <w:p w14:paraId="0EDCB7E4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  <w:w w:val="96"/>
              </w:rPr>
              <w:t>Christian Armstrong</w:t>
            </w:r>
          </w:p>
        </w:tc>
        <w:tc>
          <w:tcPr>
            <w:tcW w:w="0" w:type="dxa"/>
            <w:vAlign w:val="bottom"/>
          </w:tcPr>
          <w:p w14:paraId="44875A94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EA40E7F" w14:textId="77777777">
        <w:trPr>
          <w:trHeight w:val="220"/>
        </w:trPr>
        <w:tc>
          <w:tcPr>
            <w:tcW w:w="2000" w:type="dxa"/>
            <w:vAlign w:val="bottom"/>
          </w:tcPr>
          <w:p w14:paraId="0AE74943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14:paraId="65F23D92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vMerge/>
            <w:vAlign w:val="bottom"/>
          </w:tcPr>
          <w:p w14:paraId="1930E6A7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14:paraId="040D5BA1" w14:textId="77777777" w:rsidR="00467BE5" w:rsidRDefault="00A561E8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Chris Clark</w:t>
            </w:r>
          </w:p>
        </w:tc>
        <w:tc>
          <w:tcPr>
            <w:tcW w:w="0" w:type="dxa"/>
            <w:vAlign w:val="bottom"/>
          </w:tcPr>
          <w:p w14:paraId="0F80E37E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7D7ABF20" w14:textId="77777777">
        <w:trPr>
          <w:trHeight w:val="252"/>
        </w:trPr>
        <w:tc>
          <w:tcPr>
            <w:tcW w:w="2000" w:type="dxa"/>
            <w:vAlign w:val="bottom"/>
          </w:tcPr>
          <w:p w14:paraId="56CD010A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14:paraId="11ADD3D9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vAlign w:val="bottom"/>
          </w:tcPr>
          <w:p w14:paraId="54A4DEEF" w14:textId="77777777" w:rsidR="00467BE5" w:rsidRDefault="00A561E8">
            <w:pPr>
              <w:ind w:right="1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  <w:w w:val="98"/>
              </w:rPr>
              <w:t>Taylor, MI 48180</w:t>
            </w:r>
          </w:p>
        </w:tc>
        <w:tc>
          <w:tcPr>
            <w:tcW w:w="1940" w:type="dxa"/>
            <w:vAlign w:val="bottom"/>
          </w:tcPr>
          <w:p w14:paraId="54094C04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William Patts</w:t>
            </w:r>
          </w:p>
        </w:tc>
        <w:tc>
          <w:tcPr>
            <w:tcW w:w="0" w:type="dxa"/>
            <w:vAlign w:val="bottom"/>
          </w:tcPr>
          <w:p w14:paraId="03B62374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6BD4D67B" w14:textId="77777777">
        <w:trPr>
          <w:trHeight w:val="252"/>
        </w:trPr>
        <w:tc>
          <w:tcPr>
            <w:tcW w:w="2000" w:type="dxa"/>
            <w:vAlign w:val="bottom"/>
          </w:tcPr>
          <w:p w14:paraId="69033259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gridSpan w:val="2"/>
            <w:vAlign w:val="bottom"/>
          </w:tcPr>
          <w:p w14:paraId="3AAF66C2" w14:textId="77777777" w:rsidR="00467BE5" w:rsidRDefault="00A561E8">
            <w:pPr>
              <w:ind w:left="18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  <w:w w:val="97"/>
              </w:rPr>
              <w:t>(734) 287 6550</w:t>
            </w:r>
          </w:p>
        </w:tc>
        <w:tc>
          <w:tcPr>
            <w:tcW w:w="1920" w:type="dxa"/>
            <w:vAlign w:val="bottom"/>
          </w:tcPr>
          <w:p w14:paraId="760605ED" w14:textId="77777777" w:rsidR="00467BE5" w:rsidRDefault="00467BE5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14:paraId="601E530D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Gerald P. Thomas</w:t>
            </w:r>
          </w:p>
        </w:tc>
        <w:tc>
          <w:tcPr>
            <w:tcW w:w="0" w:type="dxa"/>
            <w:vAlign w:val="bottom"/>
          </w:tcPr>
          <w:p w14:paraId="0665009A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15A3E5B8" w14:textId="77777777">
        <w:trPr>
          <w:trHeight w:val="228"/>
        </w:trPr>
        <w:tc>
          <w:tcPr>
            <w:tcW w:w="2000" w:type="dxa"/>
            <w:vAlign w:val="bottom"/>
          </w:tcPr>
          <w:p w14:paraId="5F3511E9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14:paraId="11FD00C6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14:paraId="32135956" w14:textId="77777777" w:rsidR="00467BE5" w:rsidRDefault="00A561E8">
            <w:pPr>
              <w:spacing w:line="208" w:lineRule="exact"/>
              <w:jc w:val="center"/>
              <w:rPr>
                <w:rFonts w:eastAsia="Times New Roman"/>
                <w:i/>
                <w:iCs/>
                <w:w w:val="98"/>
              </w:rPr>
            </w:pPr>
            <w:hyperlink r:id="rId5">
              <w:r>
                <w:rPr>
                  <w:rFonts w:eastAsia="Times New Roman"/>
                  <w:i/>
                  <w:iCs/>
                  <w:w w:val="98"/>
                </w:rPr>
                <w:t>www.cityoftaylor.com</w:t>
              </w:r>
            </w:hyperlink>
          </w:p>
        </w:tc>
        <w:tc>
          <w:tcPr>
            <w:tcW w:w="1920" w:type="dxa"/>
            <w:vMerge w:val="restart"/>
            <w:vAlign w:val="bottom"/>
          </w:tcPr>
          <w:p w14:paraId="2B5714EE" w14:textId="77777777" w:rsidR="00467BE5" w:rsidRDefault="00467BE5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Merge w:val="restart"/>
            <w:vAlign w:val="bottom"/>
          </w:tcPr>
          <w:p w14:paraId="46CABC63" w14:textId="77777777" w:rsidR="00467BE5" w:rsidRDefault="00A561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33FC9"/>
              </w:rPr>
              <w:t>Dan Wallace</w:t>
            </w:r>
          </w:p>
        </w:tc>
        <w:tc>
          <w:tcPr>
            <w:tcW w:w="0" w:type="dxa"/>
            <w:vAlign w:val="bottom"/>
          </w:tcPr>
          <w:p w14:paraId="6AA9F834" w14:textId="77777777" w:rsidR="00467BE5" w:rsidRDefault="00467BE5">
            <w:pPr>
              <w:rPr>
                <w:sz w:val="1"/>
                <w:szCs w:val="1"/>
              </w:rPr>
            </w:pPr>
          </w:p>
        </w:tc>
      </w:tr>
      <w:tr w:rsidR="00467BE5" w14:paraId="5A9ADAAF" w14:textId="77777777">
        <w:trPr>
          <w:trHeight w:val="70"/>
        </w:trPr>
        <w:tc>
          <w:tcPr>
            <w:tcW w:w="2000" w:type="dxa"/>
            <w:vAlign w:val="bottom"/>
          </w:tcPr>
          <w:p w14:paraId="4BB07CDD" w14:textId="77777777" w:rsidR="00467BE5" w:rsidRDefault="00467BE5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vAlign w:val="bottom"/>
          </w:tcPr>
          <w:p w14:paraId="4CB30CE4" w14:textId="77777777" w:rsidR="00467BE5" w:rsidRDefault="00467BE5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vAlign w:val="bottom"/>
          </w:tcPr>
          <w:p w14:paraId="0C02622B" w14:textId="77777777" w:rsidR="00467BE5" w:rsidRDefault="00467BE5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vMerge/>
            <w:vAlign w:val="bottom"/>
          </w:tcPr>
          <w:p w14:paraId="527CCF35" w14:textId="77777777" w:rsidR="00467BE5" w:rsidRDefault="00467BE5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vAlign w:val="bottom"/>
          </w:tcPr>
          <w:p w14:paraId="1925F7F4" w14:textId="77777777" w:rsidR="00467BE5" w:rsidRDefault="00467BE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0A5FAFE" w14:textId="77777777" w:rsidR="00467BE5" w:rsidRDefault="00467BE5">
            <w:pPr>
              <w:rPr>
                <w:sz w:val="1"/>
                <w:szCs w:val="1"/>
              </w:rPr>
            </w:pPr>
          </w:p>
        </w:tc>
      </w:tr>
    </w:tbl>
    <w:p w14:paraId="01C44172" w14:textId="77777777" w:rsidR="00467BE5" w:rsidRDefault="00A561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BBE2628" wp14:editId="38CA9D3B">
            <wp:simplePos x="0" y="0"/>
            <wp:positionH relativeFrom="column">
              <wp:posOffset>2705100</wp:posOffset>
            </wp:positionH>
            <wp:positionV relativeFrom="paragraph">
              <wp:posOffset>-1618615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0F6C08" w14:textId="77777777" w:rsidR="00467BE5" w:rsidRDefault="00467BE5">
      <w:pPr>
        <w:spacing w:line="160" w:lineRule="exact"/>
        <w:rPr>
          <w:sz w:val="24"/>
          <w:szCs w:val="24"/>
        </w:rPr>
      </w:pPr>
    </w:p>
    <w:p w14:paraId="7B1552DF" w14:textId="77777777" w:rsidR="00C439DA" w:rsidRDefault="00C439DA">
      <w:pPr>
        <w:spacing w:line="272" w:lineRule="auto"/>
        <w:ind w:right="20"/>
        <w:rPr>
          <w:rFonts w:eastAsia="Times New Roman"/>
          <w:b/>
          <w:bCs/>
          <w:i/>
          <w:iCs/>
        </w:rPr>
      </w:pPr>
    </w:p>
    <w:p w14:paraId="1FEBEE00" w14:textId="77777777" w:rsidR="00C439DA" w:rsidRDefault="00C439DA">
      <w:pPr>
        <w:spacing w:line="272" w:lineRule="auto"/>
        <w:ind w:right="20"/>
        <w:rPr>
          <w:rFonts w:eastAsia="Times New Roman"/>
          <w:b/>
          <w:bCs/>
          <w:i/>
          <w:iCs/>
        </w:rPr>
      </w:pPr>
    </w:p>
    <w:p w14:paraId="27B062E6" w14:textId="25021F3D" w:rsidR="00467BE5" w:rsidRDefault="00A561E8">
      <w:pPr>
        <w:spacing w:line="272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The Regular TIFA Meeting of the Taylor Tax Increment Finance Authority will be held on Tuesday March 10, </w:t>
      </w:r>
      <w:r w:rsidR="00C439DA">
        <w:rPr>
          <w:rFonts w:eastAsia="Times New Roman"/>
          <w:b/>
          <w:bCs/>
          <w:i/>
          <w:iCs/>
        </w:rPr>
        <w:t>2026,</w:t>
      </w:r>
      <w:r>
        <w:rPr>
          <w:rFonts w:eastAsia="Times New Roman"/>
          <w:b/>
          <w:bCs/>
          <w:i/>
          <w:iCs/>
        </w:rPr>
        <w:t xml:space="preserve"> in the Taylor Municipal Building at 23555 Goddard Rd., Taylor, MI to begin promptly at 6:00 PM</w:t>
      </w:r>
    </w:p>
    <w:p w14:paraId="34CEE2EE" w14:textId="77777777" w:rsidR="00467BE5" w:rsidRDefault="00467BE5">
      <w:pPr>
        <w:spacing w:line="177" w:lineRule="exact"/>
        <w:rPr>
          <w:sz w:val="24"/>
          <w:szCs w:val="24"/>
        </w:rPr>
      </w:pPr>
    </w:p>
    <w:p w14:paraId="73B08CAC" w14:textId="77777777" w:rsidR="00C439DA" w:rsidRDefault="00C439DA">
      <w:pPr>
        <w:spacing w:line="177" w:lineRule="exact"/>
        <w:rPr>
          <w:sz w:val="24"/>
          <w:szCs w:val="24"/>
        </w:rPr>
      </w:pPr>
    </w:p>
    <w:p w14:paraId="1FECB011" w14:textId="77777777" w:rsidR="00C439DA" w:rsidRDefault="00C439DA">
      <w:pPr>
        <w:spacing w:line="177" w:lineRule="exact"/>
        <w:rPr>
          <w:sz w:val="24"/>
          <w:szCs w:val="24"/>
        </w:rPr>
      </w:pPr>
    </w:p>
    <w:p w14:paraId="7FE481F9" w14:textId="77777777" w:rsidR="00467BE5" w:rsidRDefault="00A561E8">
      <w:pPr>
        <w:numPr>
          <w:ilvl w:val="0"/>
          <w:numId w:val="1"/>
        </w:numPr>
        <w:tabs>
          <w:tab w:val="left" w:pos="500"/>
        </w:tabs>
        <w:spacing w:line="271" w:lineRule="auto"/>
        <w:ind w:left="500" w:right="780" w:hanging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Roll Call: Eric Chopjian, Amy Jurecki, Ronald Moran, Douglas Reimel, Anthony Sautter, Timothy Schramm, Gerald Thomas, Richard Todd</w:t>
      </w:r>
    </w:p>
    <w:p w14:paraId="7C5B3287" w14:textId="77777777" w:rsidR="00467BE5" w:rsidRDefault="00467BE5">
      <w:pPr>
        <w:spacing w:line="168" w:lineRule="exact"/>
        <w:rPr>
          <w:rFonts w:eastAsia="Times New Roman"/>
          <w:sz w:val="24"/>
          <w:szCs w:val="24"/>
        </w:rPr>
      </w:pPr>
    </w:p>
    <w:p w14:paraId="4562F6DE" w14:textId="77777777" w:rsidR="00C439DA" w:rsidRDefault="00C439DA">
      <w:pPr>
        <w:spacing w:line="168" w:lineRule="exact"/>
        <w:rPr>
          <w:rFonts w:eastAsia="Times New Roman"/>
          <w:sz w:val="24"/>
          <w:szCs w:val="24"/>
        </w:rPr>
      </w:pPr>
    </w:p>
    <w:p w14:paraId="51AE55A9" w14:textId="77777777" w:rsidR="00467BE5" w:rsidRDefault="00A561E8">
      <w:pPr>
        <w:numPr>
          <w:ilvl w:val="0"/>
          <w:numId w:val="1"/>
        </w:numPr>
        <w:tabs>
          <w:tab w:val="left" w:pos="500"/>
        </w:tabs>
        <w:ind w:left="500" w:hanging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the Agenda</w:t>
      </w:r>
    </w:p>
    <w:p w14:paraId="28190E89" w14:textId="77777777" w:rsidR="00467BE5" w:rsidRDefault="00467BE5">
      <w:pPr>
        <w:spacing w:line="240" w:lineRule="exact"/>
        <w:rPr>
          <w:sz w:val="24"/>
          <w:szCs w:val="24"/>
        </w:rPr>
      </w:pPr>
    </w:p>
    <w:p w14:paraId="644F64F3" w14:textId="77777777" w:rsidR="00467BE5" w:rsidRDefault="00A561E8">
      <w:pPr>
        <w:tabs>
          <w:tab w:val="left" w:pos="9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Motion to approve the March 10, 2026, agenda.</w:t>
      </w:r>
    </w:p>
    <w:p w14:paraId="54E0AD8B" w14:textId="77777777" w:rsidR="00467BE5" w:rsidRDefault="00467BE5">
      <w:pPr>
        <w:spacing w:line="240" w:lineRule="exact"/>
        <w:rPr>
          <w:sz w:val="24"/>
          <w:szCs w:val="24"/>
        </w:rPr>
      </w:pPr>
    </w:p>
    <w:p w14:paraId="4A6EA395" w14:textId="77777777" w:rsidR="00467BE5" w:rsidRDefault="00A561E8">
      <w:pPr>
        <w:tabs>
          <w:tab w:val="left" w:pos="980"/>
        </w:tabs>
        <w:spacing w:line="255" w:lineRule="auto"/>
        <w:ind w:left="1000" w:right="660" w:hanging="99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Motion to approve the February 10, 2026, meeting minutes and dispense with the oral reading.</w:t>
      </w:r>
    </w:p>
    <w:p w14:paraId="11866F29" w14:textId="77777777" w:rsidR="00467BE5" w:rsidRDefault="00467BE5">
      <w:pPr>
        <w:spacing w:line="1" w:lineRule="exact"/>
        <w:rPr>
          <w:sz w:val="24"/>
          <w:szCs w:val="24"/>
        </w:rPr>
      </w:pPr>
    </w:p>
    <w:p w14:paraId="5A16D1A2" w14:textId="77777777" w:rsidR="00C439DA" w:rsidRDefault="00C439DA">
      <w:pPr>
        <w:spacing w:line="228" w:lineRule="exact"/>
        <w:rPr>
          <w:sz w:val="24"/>
          <w:szCs w:val="24"/>
        </w:rPr>
      </w:pPr>
    </w:p>
    <w:p w14:paraId="5FFC52E3" w14:textId="77777777" w:rsidR="00C439DA" w:rsidRDefault="00C439DA">
      <w:pPr>
        <w:spacing w:line="228" w:lineRule="exact"/>
        <w:rPr>
          <w:sz w:val="24"/>
          <w:szCs w:val="24"/>
        </w:rPr>
      </w:pPr>
    </w:p>
    <w:p w14:paraId="45A19018" w14:textId="77777777" w:rsidR="00467BE5" w:rsidRDefault="00A561E8">
      <w:pPr>
        <w:numPr>
          <w:ilvl w:val="0"/>
          <w:numId w:val="2"/>
        </w:numPr>
        <w:tabs>
          <w:tab w:val="left" w:pos="500"/>
        </w:tabs>
        <w:ind w:left="500" w:hanging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Regular Agenda</w:t>
      </w:r>
    </w:p>
    <w:p w14:paraId="6221CF38" w14:textId="77777777" w:rsidR="00467BE5" w:rsidRDefault="00467BE5">
      <w:pPr>
        <w:spacing w:line="240" w:lineRule="exact"/>
        <w:rPr>
          <w:sz w:val="24"/>
          <w:szCs w:val="24"/>
        </w:rPr>
      </w:pPr>
    </w:p>
    <w:p w14:paraId="461783C4" w14:textId="77777777" w:rsidR="00467BE5" w:rsidRDefault="00A561E8">
      <w:pPr>
        <w:tabs>
          <w:tab w:val="left" w:pos="980"/>
        </w:tabs>
        <w:spacing w:line="255" w:lineRule="auto"/>
        <w:ind w:left="1000" w:right="500" w:hanging="99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Motion to receive &amp; file the Tax Increment Finance Authority February 2026 Financial Report.</w:t>
      </w:r>
    </w:p>
    <w:p w14:paraId="0F26C9AD" w14:textId="77777777" w:rsidR="00467BE5" w:rsidRDefault="00467BE5">
      <w:pPr>
        <w:spacing w:line="1" w:lineRule="exact"/>
        <w:rPr>
          <w:sz w:val="24"/>
          <w:szCs w:val="24"/>
        </w:rPr>
      </w:pPr>
    </w:p>
    <w:p w14:paraId="34B9DBCE" w14:textId="77777777" w:rsidR="00467BE5" w:rsidRDefault="00467BE5">
      <w:pPr>
        <w:spacing w:line="228" w:lineRule="exact"/>
        <w:rPr>
          <w:sz w:val="24"/>
          <w:szCs w:val="24"/>
        </w:rPr>
      </w:pPr>
    </w:p>
    <w:p w14:paraId="59324294" w14:textId="77777777" w:rsidR="00467BE5" w:rsidRDefault="00A561E8">
      <w:pPr>
        <w:tabs>
          <w:tab w:val="left" w:pos="980"/>
        </w:tabs>
        <w:spacing w:line="255" w:lineRule="auto"/>
        <w:ind w:left="1000" w:right="40" w:hanging="99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Motion to approve the Tax Increment Finance Authority budget amendment 2026-002 dated March 10, 2026.</w:t>
      </w:r>
    </w:p>
    <w:p w14:paraId="78311250" w14:textId="77777777" w:rsidR="00467BE5" w:rsidRDefault="00467BE5">
      <w:pPr>
        <w:spacing w:line="1" w:lineRule="exact"/>
        <w:rPr>
          <w:sz w:val="24"/>
          <w:szCs w:val="24"/>
        </w:rPr>
      </w:pPr>
    </w:p>
    <w:p w14:paraId="2B797C44" w14:textId="77777777" w:rsidR="00467BE5" w:rsidRDefault="00467BE5">
      <w:pPr>
        <w:spacing w:line="228" w:lineRule="exact"/>
        <w:rPr>
          <w:sz w:val="24"/>
          <w:szCs w:val="24"/>
        </w:rPr>
      </w:pPr>
    </w:p>
    <w:p w14:paraId="6EA118B6" w14:textId="77777777" w:rsidR="00467BE5" w:rsidRDefault="00A561E8">
      <w:pPr>
        <w:tabs>
          <w:tab w:val="left" w:pos="980"/>
        </w:tabs>
        <w:spacing w:line="255" w:lineRule="auto"/>
        <w:ind w:left="1000" w:hanging="99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Motion to receive &amp; file an update on the Eureka Road Corridor and the Frank &amp; Poet Drain Improvement project.</w:t>
      </w:r>
    </w:p>
    <w:p w14:paraId="353E006B" w14:textId="77777777" w:rsidR="00467BE5" w:rsidRDefault="00467BE5">
      <w:pPr>
        <w:spacing w:line="1" w:lineRule="exact"/>
        <w:rPr>
          <w:sz w:val="24"/>
          <w:szCs w:val="24"/>
        </w:rPr>
      </w:pPr>
    </w:p>
    <w:p w14:paraId="51283A11" w14:textId="77777777" w:rsidR="00467BE5" w:rsidRDefault="00467BE5">
      <w:pPr>
        <w:spacing w:line="228" w:lineRule="exact"/>
        <w:rPr>
          <w:sz w:val="24"/>
          <w:szCs w:val="24"/>
        </w:rPr>
      </w:pPr>
    </w:p>
    <w:p w14:paraId="7685400F" w14:textId="70F7711D" w:rsidR="00C439DA" w:rsidRPr="00C439DA" w:rsidRDefault="00A561E8" w:rsidP="00C439DA">
      <w:pPr>
        <w:tabs>
          <w:tab w:val="left" w:pos="980"/>
        </w:tabs>
        <w:spacing w:line="253" w:lineRule="auto"/>
        <w:ind w:left="1000" w:right="180" w:hanging="9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Motion to approve the temporary easement agreement for property at 23820 Eureka, for an amount not to exceed $15,000. Funded through Eureka Road Infrastructure Account. </w:t>
      </w:r>
    </w:p>
    <w:p w14:paraId="5080D2EB" w14:textId="77777777" w:rsidR="00C439DA" w:rsidRDefault="00C439DA">
      <w:pPr>
        <w:tabs>
          <w:tab w:val="left" w:pos="980"/>
        </w:tabs>
        <w:spacing w:line="271" w:lineRule="auto"/>
        <w:ind w:left="1000" w:right="520" w:hanging="995"/>
        <w:rPr>
          <w:rFonts w:eastAsia="Times New Roman"/>
          <w:sz w:val="24"/>
          <w:szCs w:val="24"/>
        </w:rPr>
      </w:pPr>
    </w:p>
    <w:p w14:paraId="3F2B195F" w14:textId="6C763A36" w:rsidR="00467BE5" w:rsidRDefault="00C439DA">
      <w:pPr>
        <w:tabs>
          <w:tab w:val="left" w:pos="980"/>
        </w:tabs>
        <w:spacing w:line="271" w:lineRule="auto"/>
        <w:ind w:left="1000" w:right="520" w:hanging="99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A561E8">
        <w:rPr>
          <w:rFonts w:eastAsia="Times New Roman"/>
          <w:sz w:val="24"/>
          <w:szCs w:val="24"/>
        </w:rPr>
        <w:t>.5</w:t>
      </w:r>
      <w:r w:rsidR="00A561E8">
        <w:rPr>
          <w:sz w:val="20"/>
          <w:szCs w:val="20"/>
        </w:rPr>
        <w:tab/>
      </w:r>
      <w:r w:rsidR="00A561E8">
        <w:rPr>
          <w:rFonts w:eastAsia="Times New Roman"/>
          <w:sz w:val="24"/>
          <w:szCs w:val="24"/>
        </w:rPr>
        <w:t>Motion to approve Bauer International, sole source provider of pro shop furnishing and fixtures for an amount not to exceed $55,243. Funded by TIFA building and other</w:t>
      </w:r>
    </w:p>
    <w:p w14:paraId="084AA6D9" w14:textId="77777777" w:rsidR="00467BE5" w:rsidRDefault="00A561E8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improvements LTGC/TMGC fund.</w:t>
      </w:r>
    </w:p>
    <w:p w14:paraId="32EF8C27" w14:textId="77777777" w:rsidR="00467BE5" w:rsidRDefault="00467BE5">
      <w:pPr>
        <w:spacing w:line="36" w:lineRule="exact"/>
        <w:rPr>
          <w:sz w:val="20"/>
          <w:szCs w:val="20"/>
        </w:rPr>
      </w:pPr>
    </w:p>
    <w:p w14:paraId="3EC5E87D" w14:textId="77777777" w:rsidR="00467BE5" w:rsidRDefault="00467BE5">
      <w:pPr>
        <w:spacing w:line="240" w:lineRule="exact"/>
        <w:rPr>
          <w:sz w:val="20"/>
          <w:szCs w:val="20"/>
        </w:rPr>
      </w:pPr>
    </w:p>
    <w:p w14:paraId="4974DE13" w14:textId="77777777" w:rsidR="00467BE5" w:rsidRDefault="00A561E8">
      <w:pPr>
        <w:tabs>
          <w:tab w:val="left" w:pos="980"/>
        </w:tabs>
        <w:spacing w:line="247" w:lineRule="auto"/>
        <w:ind w:left="1000" w:hanging="99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3.6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Motion to approve Electro-Matic Visual, low- qualified bid, to install new electronic messaging signage and brickwork at Lakes of Taylor and Taylor Meadows Golf Courses for an amount not to exceed $128,308. Funded by TIFA building and other improvements LTGC/TMGC.</w:t>
      </w:r>
    </w:p>
    <w:p w14:paraId="4679CA5C" w14:textId="77777777" w:rsidR="00C439DA" w:rsidRDefault="00C439DA">
      <w:pPr>
        <w:tabs>
          <w:tab w:val="left" w:pos="980"/>
        </w:tabs>
        <w:spacing w:line="247" w:lineRule="auto"/>
        <w:ind w:left="1000" w:hanging="995"/>
        <w:rPr>
          <w:sz w:val="20"/>
          <w:szCs w:val="20"/>
        </w:rPr>
      </w:pPr>
    </w:p>
    <w:p w14:paraId="23785080" w14:textId="77777777" w:rsidR="00467BE5" w:rsidRDefault="00467BE5">
      <w:pPr>
        <w:spacing w:line="4" w:lineRule="exact"/>
        <w:rPr>
          <w:sz w:val="20"/>
          <w:szCs w:val="20"/>
        </w:rPr>
      </w:pPr>
    </w:p>
    <w:p w14:paraId="0824E533" w14:textId="77777777" w:rsidR="00467BE5" w:rsidRDefault="00A561E8">
      <w:pPr>
        <w:numPr>
          <w:ilvl w:val="0"/>
          <w:numId w:val="3"/>
        </w:numPr>
        <w:tabs>
          <w:tab w:val="left" w:pos="500"/>
        </w:tabs>
        <w:ind w:left="500" w:hanging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Open Business</w:t>
      </w:r>
    </w:p>
    <w:p w14:paraId="0A7981D0" w14:textId="77777777" w:rsidR="00467BE5" w:rsidRDefault="00467BE5">
      <w:pPr>
        <w:spacing w:line="240" w:lineRule="exact"/>
        <w:rPr>
          <w:rFonts w:eastAsia="Times New Roman"/>
          <w:sz w:val="24"/>
          <w:szCs w:val="24"/>
        </w:rPr>
      </w:pPr>
    </w:p>
    <w:p w14:paraId="7275C973" w14:textId="77777777" w:rsidR="00467BE5" w:rsidRDefault="00A561E8">
      <w:pPr>
        <w:numPr>
          <w:ilvl w:val="0"/>
          <w:numId w:val="3"/>
        </w:numPr>
        <w:tabs>
          <w:tab w:val="left" w:pos="500"/>
        </w:tabs>
        <w:ind w:left="500" w:hanging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Adjournment</w:t>
      </w:r>
    </w:p>
    <w:sectPr w:rsidR="00467BE5">
      <w:pgSz w:w="12240" w:h="15840"/>
      <w:pgMar w:top="831" w:right="1300" w:bottom="1440" w:left="108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36C21950"/>
    <w:lvl w:ilvl="0" w:tplc="8382AB3A">
      <w:start w:val="3"/>
      <w:numFmt w:val="decimal"/>
      <w:lvlText w:val="%1."/>
      <w:lvlJc w:val="left"/>
    </w:lvl>
    <w:lvl w:ilvl="1" w:tplc="7786D756">
      <w:numFmt w:val="decimal"/>
      <w:lvlText w:val=""/>
      <w:lvlJc w:val="left"/>
    </w:lvl>
    <w:lvl w:ilvl="2" w:tplc="BF5CAB0E">
      <w:numFmt w:val="decimal"/>
      <w:lvlText w:val=""/>
      <w:lvlJc w:val="left"/>
    </w:lvl>
    <w:lvl w:ilvl="3" w:tplc="B0FE6D92">
      <w:numFmt w:val="decimal"/>
      <w:lvlText w:val=""/>
      <w:lvlJc w:val="left"/>
    </w:lvl>
    <w:lvl w:ilvl="4" w:tplc="EA74185E">
      <w:numFmt w:val="decimal"/>
      <w:lvlText w:val=""/>
      <w:lvlJc w:val="left"/>
    </w:lvl>
    <w:lvl w:ilvl="5" w:tplc="56740018">
      <w:numFmt w:val="decimal"/>
      <w:lvlText w:val=""/>
      <w:lvlJc w:val="left"/>
    </w:lvl>
    <w:lvl w:ilvl="6" w:tplc="F5123416">
      <w:numFmt w:val="decimal"/>
      <w:lvlText w:val=""/>
      <w:lvlJc w:val="left"/>
    </w:lvl>
    <w:lvl w:ilvl="7" w:tplc="B020476A">
      <w:numFmt w:val="decimal"/>
      <w:lvlText w:val=""/>
      <w:lvlJc w:val="left"/>
    </w:lvl>
    <w:lvl w:ilvl="8" w:tplc="02942396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4F1E89CA"/>
    <w:lvl w:ilvl="0" w:tplc="8236DA88">
      <w:start w:val="1"/>
      <w:numFmt w:val="decimal"/>
      <w:lvlText w:val="%1."/>
      <w:lvlJc w:val="left"/>
    </w:lvl>
    <w:lvl w:ilvl="1" w:tplc="127CA560">
      <w:numFmt w:val="decimal"/>
      <w:lvlText w:val=""/>
      <w:lvlJc w:val="left"/>
    </w:lvl>
    <w:lvl w:ilvl="2" w:tplc="D974F98C">
      <w:numFmt w:val="decimal"/>
      <w:lvlText w:val=""/>
      <w:lvlJc w:val="left"/>
    </w:lvl>
    <w:lvl w:ilvl="3" w:tplc="2E9C6AA2">
      <w:numFmt w:val="decimal"/>
      <w:lvlText w:val=""/>
      <w:lvlJc w:val="left"/>
    </w:lvl>
    <w:lvl w:ilvl="4" w:tplc="5010FB3E">
      <w:numFmt w:val="decimal"/>
      <w:lvlText w:val=""/>
      <w:lvlJc w:val="left"/>
    </w:lvl>
    <w:lvl w:ilvl="5" w:tplc="09600B0A">
      <w:numFmt w:val="decimal"/>
      <w:lvlText w:val=""/>
      <w:lvlJc w:val="left"/>
    </w:lvl>
    <w:lvl w:ilvl="6" w:tplc="ED7E9438">
      <w:numFmt w:val="decimal"/>
      <w:lvlText w:val=""/>
      <w:lvlJc w:val="left"/>
    </w:lvl>
    <w:lvl w:ilvl="7" w:tplc="B6707344">
      <w:numFmt w:val="decimal"/>
      <w:lvlText w:val=""/>
      <w:lvlJc w:val="left"/>
    </w:lvl>
    <w:lvl w:ilvl="8" w:tplc="56A209C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95D80E2C"/>
    <w:lvl w:ilvl="0" w:tplc="FFECBB12">
      <w:start w:val="4"/>
      <w:numFmt w:val="decimal"/>
      <w:lvlText w:val="%1."/>
      <w:lvlJc w:val="left"/>
    </w:lvl>
    <w:lvl w:ilvl="1" w:tplc="14627A40">
      <w:numFmt w:val="decimal"/>
      <w:lvlText w:val=""/>
      <w:lvlJc w:val="left"/>
    </w:lvl>
    <w:lvl w:ilvl="2" w:tplc="5414E2CA">
      <w:numFmt w:val="decimal"/>
      <w:lvlText w:val=""/>
      <w:lvlJc w:val="left"/>
    </w:lvl>
    <w:lvl w:ilvl="3" w:tplc="F0AA3CA6">
      <w:numFmt w:val="decimal"/>
      <w:lvlText w:val=""/>
      <w:lvlJc w:val="left"/>
    </w:lvl>
    <w:lvl w:ilvl="4" w:tplc="03BCB066">
      <w:numFmt w:val="decimal"/>
      <w:lvlText w:val=""/>
      <w:lvlJc w:val="left"/>
    </w:lvl>
    <w:lvl w:ilvl="5" w:tplc="D1506E9E">
      <w:numFmt w:val="decimal"/>
      <w:lvlText w:val=""/>
      <w:lvlJc w:val="left"/>
    </w:lvl>
    <w:lvl w:ilvl="6" w:tplc="3BE665DE">
      <w:numFmt w:val="decimal"/>
      <w:lvlText w:val=""/>
      <w:lvlJc w:val="left"/>
    </w:lvl>
    <w:lvl w:ilvl="7" w:tplc="5FE8C174">
      <w:numFmt w:val="decimal"/>
      <w:lvlText w:val=""/>
      <w:lvlJc w:val="left"/>
    </w:lvl>
    <w:lvl w:ilvl="8" w:tplc="38904D7E">
      <w:numFmt w:val="decimal"/>
      <w:lvlText w:val=""/>
      <w:lvlJc w:val="left"/>
    </w:lvl>
  </w:abstractNum>
  <w:num w:numId="1" w16cid:durableId="246309419">
    <w:abstractNumId w:val="1"/>
  </w:num>
  <w:num w:numId="2" w16cid:durableId="1822229416">
    <w:abstractNumId w:val="0"/>
  </w:num>
  <w:num w:numId="3" w16cid:durableId="74561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E5"/>
    <w:rsid w:val="00467BE5"/>
    <w:rsid w:val="00A561E8"/>
    <w:rsid w:val="00C439DA"/>
    <w:rsid w:val="00C6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B864"/>
  <w15:docId w15:val="{A0386B49-B29F-4341-9D28-0A6BB7FF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ityoftayl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Kimber Dorton</cp:lastModifiedBy>
  <cp:revision>2</cp:revision>
  <cp:lastPrinted>2026-03-04T19:40:00Z</cp:lastPrinted>
  <dcterms:created xsi:type="dcterms:W3CDTF">2026-03-04T19:41:00Z</dcterms:created>
  <dcterms:modified xsi:type="dcterms:W3CDTF">2026-03-04T19:41:00Z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2026-03-04T19:32:20Z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94f69973-a651-4e4d-8461-b682a045a1d8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